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35EFE" w14:textId="42208B65" w:rsidR="00CC1154" w:rsidRPr="00585C2D" w:rsidRDefault="00CC1154" w:rsidP="002522C8">
      <w:pPr>
        <w:tabs>
          <w:tab w:val="left" w:pos="426"/>
          <w:tab w:val="left" w:pos="7516"/>
        </w:tabs>
        <w:spacing w:line="360" w:lineRule="auto"/>
        <w:jc w:val="both"/>
        <w:rPr>
          <w:rFonts w:cstheme="minorHAnsi"/>
          <w:b/>
        </w:rPr>
      </w:pPr>
      <w:r w:rsidRPr="00585C2D">
        <w:rPr>
          <w:rFonts w:cstheme="minorHAnsi"/>
          <w:b/>
        </w:rPr>
        <w:t xml:space="preserve">KAPSAM </w:t>
      </w:r>
    </w:p>
    <w:p w14:paraId="7C8AB5FE" w14:textId="79C57481" w:rsidR="005B2D0A" w:rsidRPr="00585C2D" w:rsidRDefault="00973B08" w:rsidP="002522C8">
      <w:pPr>
        <w:tabs>
          <w:tab w:val="left" w:pos="426"/>
          <w:tab w:val="left" w:pos="7516"/>
        </w:tabs>
        <w:spacing w:line="360" w:lineRule="auto"/>
        <w:jc w:val="both"/>
        <w:rPr>
          <w:rFonts w:cstheme="minorHAnsi"/>
          <w:bCs/>
        </w:rPr>
      </w:pPr>
      <w:r w:rsidRPr="00585C2D">
        <w:rPr>
          <w:rFonts w:cstheme="minorHAnsi"/>
          <w:bCs/>
        </w:rPr>
        <w:t>Ağrı İbrahim Çeçen Üniversitesi</w:t>
      </w:r>
      <w:r w:rsidR="00864434" w:rsidRPr="00585C2D">
        <w:rPr>
          <w:rFonts w:cstheme="minorHAnsi"/>
          <w:bCs/>
        </w:rPr>
        <w:t xml:space="preserve">; </w:t>
      </w:r>
      <w:r w:rsidR="002522C8" w:rsidRPr="00585C2D">
        <w:rPr>
          <w:rFonts w:cstheme="minorHAnsi"/>
          <w:bCs/>
        </w:rPr>
        <w:t xml:space="preserve">öğrenciler, ziyaretçiler, üçüncü taraflar ve yükleniciler dahil olmak üzere Üniversitenin tüm personelinin ve iş faaliyetlerinden etkilenenlerin iş sağlığını, güvenliğini ve refahını sağlamayı amaç edinmiştir. </w:t>
      </w:r>
      <w:r w:rsidR="003254A2" w:rsidRPr="00585C2D">
        <w:rPr>
          <w:rFonts w:cstheme="minorHAnsi"/>
          <w:bCs/>
        </w:rPr>
        <w:t xml:space="preserve"> </w:t>
      </w:r>
      <w:r w:rsidR="00766E55" w:rsidRPr="00585C2D">
        <w:rPr>
          <w:rFonts w:cstheme="minorHAnsi"/>
          <w:bCs/>
        </w:rPr>
        <w:t xml:space="preserve">İş </w:t>
      </w:r>
      <w:r w:rsidR="002522C8" w:rsidRPr="00585C2D">
        <w:rPr>
          <w:rFonts w:cstheme="minorHAnsi"/>
          <w:bCs/>
        </w:rPr>
        <w:t>sağlığı ve güvenliği politika</w:t>
      </w:r>
      <w:r w:rsidR="00766E55" w:rsidRPr="00585C2D">
        <w:rPr>
          <w:rFonts w:cstheme="minorHAnsi"/>
          <w:bCs/>
        </w:rPr>
        <w:t>mız</w:t>
      </w:r>
      <w:r w:rsidR="002522C8" w:rsidRPr="00585C2D">
        <w:rPr>
          <w:rFonts w:cstheme="minorHAnsi"/>
          <w:bCs/>
        </w:rPr>
        <w:t xml:space="preserve">; eğitim, araştırma, </w:t>
      </w:r>
      <w:r w:rsidR="00766E55" w:rsidRPr="00585C2D">
        <w:rPr>
          <w:rFonts w:cstheme="minorHAnsi"/>
          <w:bCs/>
        </w:rPr>
        <w:t xml:space="preserve">toplumsal katkı, </w:t>
      </w:r>
      <w:r w:rsidR="002522C8" w:rsidRPr="00585C2D">
        <w:rPr>
          <w:rFonts w:cstheme="minorHAnsi"/>
          <w:bCs/>
        </w:rPr>
        <w:t xml:space="preserve">yönetim faaliyetleri dahil olmak üzere Üniversite </w:t>
      </w:r>
      <w:r w:rsidR="00494DE4" w:rsidRPr="00585C2D">
        <w:rPr>
          <w:rFonts w:cstheme="minorHAnsi"/>
          <w:bCs/>
        </w:rPr>
        <w:t>iş süreçlerinin</w:t>
      </w:r>
      <w:r w:rsidR="002522C8" w:rsidRPr="00585C2D">
        <w:rPr>
          <w:rFonts w:cstheme="minorHAnsi"/>
          <w:bCs/>
        </w:rPr>
        <w:t xml:space="preserve"> her yönü için geçerlidir.</w:t>
      </w:r>
      <w:r w:rsidR="003254A2" w:rsidRPr="00585C2D">
        <w:rPr>
          <w:rFonts w:cstheme="minorHAnsi"/>
          <w:bCs/>
        </w:rPr>
        <w:t xml:space="preserve"> </w:t>
      </w:r>
    </w:p>
    <w:p w14:paraId="7EDAA1C0" w14:textId="562C6619" w:rsidR="00CC1154" w:rsidRPr="00585C2D" w:rsidRDefault="00CC1154" w:rsidP="002522C8">
      <w:pPr>
        <w:tabs>
          <w:tab w:val="left" w:pos="426"/>
          <w:tab w:val="left" w:pos="7516"/>
        </w:tabs>
        <w:spacing w:line="360" w:lineRule="auto"/>
        <w:jc w:val="both"/>
        <w:rPr>
          <w:rFonts w:cstheme="minorHAnsi"/>
          <w:b/>
        </w:rPr>
      </w:pPr>
      <w:r w:rsidRPr="00585C2D">
        <w:rPr>
          <w:rFonts w:cstheme="minorHAnsi"/>
          <w:b/>
        </w:rPr>
        <w:t>POLİTİKA BEYANI</w:t>
      </w:r>
    </w:p>
    <w:p w14:paraId="4D5CF92C" w14:textId="3D37C06C" w:rsidR="007F321E" w:rsidRPr="003129D5" w:rsidRDefault="001953FF" w:rsidP="003129D5">
      <w:pPr>
        <w:tabs>
          <w:tab w:val="left" w:pos="426"/>
          <w:tab w:val="left" w:pos="7516"/>
        </w:tabs>
        <w:spacing w:line="360" w:lineRule="auto"/>
        <w:jc w:val="both"/>
        <w:rPr>
          <w:rFonts w:cstheme="minorHAnsi"/>
          <w:bCs/>
        </w:rPr>
      </w:pPr>
      <w:r w:rsidRPr="00585C2D">
        <w:rPr>
          <w:rFonts w:cstheme="minorHAnsi"/>
          <w:bCs/>
        </w:rPr>
        <w:tab/>
      </w:r>
      <w:r w:rsidR="003254A2" w:rsidRPr="00585C2D">
        <w:rPr>
          <w:rFonts w:cstheme="minorHAnsi"/>
          <w:bCs/>
        </w:rPr>
        <w:t>Amacımız, refahı teşvik eden güvenli, sağlıklı ve emniyetli bir ortam sağlamak için sürekli iyileştirme süreci yoluyla Üniversitenin insan odaklı, yenilikçi</w:t>
      </w:r>
      <w:r w:rsidR="00B92F55" w:rsidRPr="00585C2D">
        <w:rPr>
          <w:rFonts w:cstheme="minorHAnsi"/>
          <w:bCs/>
        </w:rPr>
        <w:t xml:space="preserve"> ve</w:t>
      </w:r>
      <w:r w:rsidR="003254A2" w:rsidRPr="00585C2D">
        <w:rPr>
          <w:rFonts w:cstheme="minorHAnsi"/>
          <w:bCs/>
        </w:rPr>
        <w:t xml:space="preserve"> işbirlikçi değerlerini desteklemeye katkıda bulunmaktır.</w:t>
      </w:r>
      <w:r w:rsidR="003254A2" w:rsidRPr="00585C2D">
        <w:t xml:space="preserve"> </w:t>
      </w:r>
      <w:r w:rsidR="00494DE4" w:rsidRPr="00585C2D">
        <w:rPr>
          <w:rFonts w:cstheme="minorHAnsi"/>
          <w:bCs/>
        </w:rPr>
        <w:t xml:space="preserve">Bu amaca ulaşabilmek için </w:t>
      </w:r>
      <w:r w:rsidR="004D11B4" w:rsidRPr="00585C2D">
        <w:rPr>
          <w:rFonts w:cstheme="minorHAnsi"/>
          <w:b/>
          <w:i/>
          <w:iCs/>
        </w:rPr>
        <w:t>“</w:t>
      </w:r>
      <w:r w:rsidR="00494DE4" w:rsidRPr="00585C2D">
        <w:rPr>
          <w:rFonts w:cstheme="minorHAnsi"/>
          <w:b/>
          <w:i/>
          <w:iCs/>
        </w:rPr>
        <w:t xml:space="preserve">güçlü liderliğin ve katılımın temel hedeflerimize ulaşmada önem taşıdığını kabul etmek, </w:t>
      </w:r>
      <w:r w:rsidR="004D11B4" w:rsidRPr="00585C2D">
        <w:rPr>
          <w:rFonts w:cstheme="minorHAnsi"/>
          <w:b/>
          <w:i/>
          <w:iCs/>
        </w:rPr>
        <w:t xml:space="preserve">kuruluşumuz ile </w:t>
      </w:r>
      <w:r w:rsidR="00494DE4" w:rsidRPr="00585C2D">
        <w:rPr>
          <w:rFonts w:cstheme="minorHAnsi"/>
          <w:b/>
          <w:i/>
          <w:iCs/>
        </w:rPr>
        <w:t>İlgili İş Sağlığı ve Güvenliği rehberlerini uygulamak</w:t>
      </w:r>
      <w:r w:rsidR="007E7C82" w:rsidRPr="00585C2D">
        <w:rPr>
          <w:rFonts w:cstheme="minorHAnsi"/>
          <w:b/>
          <w:i/>
          <w:iCs/>
        </w:rPr>
        <w:t>, risk yönetimini desteklemek için hedefleri sürekli gözden geçirerek iyileştirilme</w:t>
      </w:r>
      <w:r w:rsidR="004D11B4" w:rsidRPr="00585C2D">
        <w:rPr>
          <w:rFonts w:cstheme="minorHAnsi"/>
          <w:b/>
          <w:i/>
          <w:iCs/>
        </w:rPr>
        <w:t xml:space="preserve"> çalışmaları yapmak</w:t>
      </w:r>
      <w:r w:rsidR="007E7C82" w:rsidRPr="00585C2D">
        <w:rPr>
          <w:rFonts w:cstheme="minorHAnsi"/>
          <w:b/>
          <w:i/>
          <w:iCs/>
        </w:rPr>
        <w:t xml:space="preserve">  </w:t>
      </w:r>
      <w:r w:rsidR="00494DE4" w:rsidRPr="00585C2D">
        <w:rPr>
          <w:rFonts w:cstheme="minorHAnsi"/>
          <w:b/>
          <w:i/>
          <w:iCs/>
        </w:rPr>
        <w:t xml:space="preserve"> </w:t>
      </w:r>
      <w:r w:rsidR="007E7C82" w:rsidRPr="00585C2D">
        <w:rPr>
          <w:rFonts w:cstheme="minorHAnsi"/>
          <w:b/>
          <w:i/>
          <w:iCs/>
        </w:rPr>
        <w:t>ve düzenlemelerimizi tanınmış uluslararası İş Sağlığı ve Güvenliği yönetimi standardıyla uyumlu hale getirmek</w:t>
      </w:r>
      <w:r w:rsidR="004D11B4" w:rsidRPr="00585C2D">
        <w:rPr>
          <w:rFonts w:cstheme="minorHAnsi"/>
          <w:b/>
          <w:i/>
          <w:iCs/>
        </w:rPr>
        <w:t>”</w:t>
      </w:r>
      <w:r w:rsidR="007E7C82" w:rsidRPr="00585C2D">
        <w:rPr>
          <w:rFonts w:cstheme="minorHAnsi"/>
          <w:bCs/>
          <w:i/>
          <w:iCs/>
        </w:rPr>
        <w:t xml:space="preserve"> </w:t>
      </w:r>
      <w:r w:rsidR="007E7C82" w:rsidRPr="00585C2D">
        <w:rPr>
          <w:rFonts w:cstheme="minorHAnsi"/>
          <w:bCs/>
        </w:rPr>
        <w:t xml:space="preserve">temel önceliklerimiz arasındadır. </w:t>
      </w:r>
      <w:r w:rsidR="007F321E" w:rsidRPr="00585C2D">
        <w:tab/>
      </w:r>
    </w:p>
    <w:p w14:paraId="743E4AE0" w14:textId="7657A077" w:rsidR="00002257" w:rsidRPr="00585C2D" w:rsidRDefault="008F6AEF" w:rsidP="003254A2">
      <w:pPr>
        <w:tabs>
          <w:tab w:val="left" w:pos="426"/>
          <w:tab w:val="left" w:pos="7516"/>
        </w:tabs>
        <w:spacing w:line="360" w:lineRule="auto"/>
        <w:jc w:val="both"/>
        <w:rPr>
          <w:rFonts w:cstheme="minorHAnsi"/>
          <w:bCs/>
        </w:rPr>
      </w:pPr>
      <w:r w:rsidRPr="00585C2D">
        <w:rPr>
          <w:rFonts w:cstheme="minorHAnsi"/>
          <w:bCs/>
        </w:rPr>
        <w:t xml:space="preserve">Bu bağlamda; </w:t>
      </w:r>
      <w:r w:rsidR="00CC1154" w:rsidRPr="00585C2D">
        <w:rPr>
          <w:rFonts w:cstheme="minorHAnsi"/>
          <w:bCs/>
        </w:rPr>
        <w:t>Üniversitenin, öğrenciler, ziyaretçiler, üçüncü taraflar ve yükleniciler dahil olmak üzere Üniversitenin tüm personelinin ve iş faaliyetlerinden etkilenenlerin sağlığı, güvenliği ve refahına yaklaşımı aşağıdaki genel ilkelere göre yönlendirilir.</w:t>
      </w:r>
    </w:p>
    <w:p w14:paraId="4F2FB447" w14:textId="0130037B" w:rsidR="00CC1154" w:rsidRPr="00585C2D" w:rsidRDefault="00CC1154" w:rsidP="006D4093">
      <w:pPr>
        <w:pStyle w:val="ListeParagraf"/>
        <w:numPr>
          <w:ilvl w:val="0"/>
          <w:numId w:val="2"/>
        </w:numPr>
        <w:tabs>
          <w:tab w:val="left" w:pos="426"/>
          <w:tab w:val="left" w:pos="7516"/>
        </w:tabs>
        <w:spacing w:line="360" w:lineRule="auto"/>
        <w:jc w:val="both"/>
        <w:rPr>
          <w:rFonts w:cstheme="minorHAnsi"/>
          <w:bCs/>
        </w:rPr>
      </w:pPr>
      <w:r w:rsidRPr="00585C2D">
        <w:rPr>
          <w:rFonts w:cstheme="minorHAnsi"/>
          <w:bCs/>
        </w:rPr>
        <w:t>Üniversite, çalışanlarının sağlığı, güvenliği ve refahının her şeyden önemli olduğunu kabul eder;</w:t>
      </w:r>
    </w:p>
    <w:p w14:paraId="0A9D88E1" w14:textId="03B172B1" w:rsidR="006D4093" w:rsidRPr="00585C2D" w:rsidRDefault="006D4093" w:rsidP="006D4093">
      <w:pPr>
        <w:pStyle w:val="ListeParagraf"/>
        <w:numPr>
          <w:ilvl w:val="0"/>
          <w:numId w:val="2"/>
        </w:numPr>
        <w:tabs>
          <w:tab w:val="left" w:pos="426"/>
          <w:tab w:val="left" w:pos="7516"/>
        </w:tabs>
        <w:spacing w:line="360" w:lineRule="auto"/>
        <w:jc w:val="both"/>
        <w:rPr>
          <w:rFonts w:cstheme="minorHAnsi"/>
          <w:bCs/>
        </w:rPr>
      </w:pPr>
      <w:r w:rsidRPr="00585C2D">
        <w:rPr>
          <w:rFonts w:cstheme="minorHAnsi"/>
          <w:bCs/>
        </w:rPr>
        <w:t>Tüm liderler ve yöneticiler sağlık ve güvenlik konularında rol ve sorumluluklarını anlar, kabul eder ve yerine getirir;</w:t>
      </w:r>
    </w:p>
    <w:p w14:paraId="1C7B78AC" w14:textId="3624E65E" w:rsidR="006D4093" w:rsidRPr="00585C2D" w:rsidRDefault="006D4093" w:rsidP="006D4093">
      <w:pPr>
        <w:pStyle w:val="ListeParagraf"/>
        <w:numPr>
          <w:ilvl w:val="0"/>
          <w:numId w:val="2"/>
        </w:numPr>
        <w:tabs>
          <w:tab w:val="left" w:pos="426"/>
          <w:tab w:val="left" w:pos="7516"/>
        </w:tabs>
        <w:spacing w:line="360" w:lineRule="auto"/>
        <w:jc w:val="both"/>
        <w:rPr>
          <w:rFonts w:cstheme="minorHAnsi"/>
          <w:bCs/>
        </w:rPr>
      </w:pPr>
      <w:r w:rsidRPr="00585C2D">
        <w:rPr>
          <w:rFonts w:cstheme="minorHAnsi"/>
          <w:bCs/>
        </w:rPr>
        <w:t>Üniversite, liderler ve yöneticiler de dahil olmak üzere tüm personelin, yasal görevlerini yetkin bir şekilde yerine getirebilmelerini sağlayacak eğitimler planlar ve uygular;</w:t>
      </w:r>
    </w:p>
    <w:p w14:paraId="51413D2F" w14:textId="600F3EBC" w:rsidR="006D4093" w:rsidRPr="00585C2D" w:rsidRDefault="006D4093" w:rsidP="006D4093">
      <w:pPr>
        <w:pStyle w:val="ListeParagraf"/>
        <w:numPr>
          <w:ilvl w:val="0"/>
          <w:numId w:val="2"/>
        </w:numPr>
        <w:tabs>
          <w:tab w:val="left" w:pos="426"/>
          <w:tab w:val="left" w:pos="7516"/>
        </w:tabs>
        <w:spacing w:line="360" w:lineRule="auto"/>
        <w:jc w:val="both"/>
        <w:rPr>
          <w:rFonts w:cstheme="minorHAnsi"/>
          <w:bCs/>
        </w:rPr>
      </w:pPr>
      <w:r w:rsidRPr="00585C2D">
        <w:rPr>
          <w:rFonts w:cstheme="minorHAnsi"/>
          <w:bCs/>
        </w:rPr>
        <w:t>Üniversite, personelin ve öğrencilerin sorumluluklarını yerine getirmelerini sağlayacak kapsayıcı, katılımcı ve istişareci bir güvenlik, sağlık ve refah kültürünün geliştirilmesine katkıda bulunacak hizmetler, programlar ve girişimler sağlar ve destekler;</w:t>
      </w:r>
    </w:p>
    <w:p w14:paraId="375AA5B0" w14:textId="14D8B9C5" w:rsidR="006D4093" w:rsidRPr="00585C2D" w:rsidRDefault="006D4093" w:rsidP="006D4093">
      <w:pPr>
        <w:pStyle w:val="ListeParagraf"/>
        <w:numPr>
          <w:ilvl w:val="0"/>
          <w:numId w:val="2"/>
        </w:numPr>
        <w:tabs>
          <w:tab w:val="left" w:pos="426"/>
          <w:tab w:val="left" w:pos="7516"/>
        </w:tabs>
        <w:spacing w:line="360" w:lineRule="auto"/>
        <w:jc w:val="both"/>
        <w:rPr>
          <w:rFonts w:cstheme="minorHAnsi"/>
          <w:bCs/>
        </w:rPr>
      </w:pPr>
      <w:r w:rsidRPr="00585C2D">
        <w:rPr>
          <w:rFonts w:cstheme="minorHAnsi"/>
          <w:bCs/>
        </w:rPr>
        <w:t>Üniversite, sağlıklarını, güvenliklerini ve refahlarını etkileyen konularda istişare ve katılım sağlamak için tüm personel, öğrenciler, temsilcileri ve üçüncü taraflarla etkili iletişim mekanizmaları kurar;</w:t>
      </w:r>
    </w:p>
    <w:p w14:paraId="22771ABB" w14:textId="7B07A019" w:rsidR="006D4093" w:rsidRPr="00585C2D" w:rsidRDefault="006D4093" w:rsidP="006D4093">
      <w:pPr>
        <w:pStyle w:val="ListeParagraf"/>
        <w:numPr>
          <w:ilvl w:val="0"/>
          <w:numId w:val="2"/>
        </w:numPr>
        <w:tabs>
          <w:tab w:val="left" w:pos="426"/>
          <w:tab w:val="left" w:pos="7516"/>
        </w:tabs>
        <w:spacing w:line="360" w:lineRule="auto"/>
        <w:jc w:val="both"/>
        <w:rPr>
          <w:rFonts w:cstheme="minorHAnsi"/>
          <w:bCs/>
        </w:rPr>
      </w:pPr>
      <w:r w:rsidRPr="00585C2D">
        <w:rPr>
          <w:rFonts w:cstheme="minorHAnsi"/>
          <w:bCs/>
        </w:rPr>
        <w:lastRenderedPageBreak/>
        <w:t>Üniversite, yasal ve diğer yükümlülüklerini yerine getirmeyi taahhüt eder;</w:t>
      </w:r>
    </w:p>
    <w:p w14:paraId="7F670333" w14:textId="5D6F81D4" w:rsidR="006D4093" w:rsidRPr="00585C2D" w:rsidRDefault="006D4093" w:rsidP="006D4093">
      <w:pPr>
        <w:pStyle w:val="ListeParagraf"/>
        <w:numPr>
          <w:ilvl w:val="0"/>
          <w:numId w:val="2"/>
        </w:numPr>
        <w:tabs>
          <w:tab w:val="left" w:pos="426"/>
          <w:tab w:val="left" w:pos="7516"/>
        </w:tabs>
        <w:spacing w:line="360" w:lineRule="auto"/>
        <w:jc w:val="both"/>
        <w:rPr>
          <w:rFonts w:cstheme="minorHAnsi"/>
          <w:bCs/>
        </w:rPr>
      </w:pPr>
      <w:r w:rsidRPr="00585C2D">
        <w:rPr>
          <w:rFonts w:cstheme="minorHAnsi"/>
          <w:bCs/>
        </w:rPr>
        <w:t>Üniversite, Üniversite faaliyetlerinden kaynaklanan yaralanma, hastalık ve sağlık sorunları da dahil olmak üzere tehlikeleri ortadan kaldırmayı ve İSG risklerini azaltmayı taahhüt eder;</w:t>
      </w:r>
    </w:p>
    <w:p w14:paraId="5DCB0879" w14:textId="7ADD9DE9" w:rsidR="001734F9" w:rsidRPr="00585C2D" w:rsidRDefault="00783314" w:rsidP="006D4093">
      <w:pPr>
        <w:pStyle w:val="ListeParagraf"/>
        <w:numPr>
          <w:ilvl w:val="0"/>
          <w:numId w:val="2"/>
        </w:numPr>
        <w:tabs>
          <w:tab w:val="left" w:pos="426"/>
          <w:tab w:val="left" w:pos="7516"/>
        </w:tabs>
        <w:spacing w:line="360" w:lineRule="auto"/>
        <w:jc w:val="both"/>
        <w:rPr>
          <w:rFonts w:cstheme="minorHAnsi"/>
          <w:bCs/>
        </w:rPr>
      </w:pPr>
      <w:r w:rsidRPr="00585C2D">
        <w:rPr>
          <w:rFonts w:cstheme="minorHAnsi"/>
          <w:bCs/>
        </w:rPr>
        <w:t xml:space="preserve">Devam eden ve proaktif olan tehlike tanımlaması için proses/prosesler oluşturur, uygular ve sürekliliğini sağlar; </w:t>
      </w:r>
    </w:p>
    <w:p w14:paraId="30D50DAF" w14:textId="292E7662" w:rsidR="00783314" w:rsidRPr="00585C2D" w:rsidRDefault="00783314" w:rsidP="006D4093">
      <w:pPr>
        <w:pStyle w:val="ListeParagraf"/>
        <w:numPr>
          <w:ilvl w:val="0"/>
          <w:numId w:val="2"/>
        </w:numPr>
        <w:tabs>
          <w:tab w:val="left" w:pos="210"/>
          <w:tab w:val="left" w:pos="7516"/>
        </w:tabs>
        <w:spacing w:line="360" w:lineRule="auto"/>
        <w:jc w:val="both"/>
        <w:rPr>
          <w:rFonts w:cstheme="minorHAnsi"/>
          <w:bCs/>
        </w:rPr>
      </w:pPr>
      <w:r w:rsidRPr="00585C2D">
        <w:rPr>
          <w:rFonts w:cstheme="minorHAnsi"/>
          <w:bCs/>
        </w:rPr>
        <w:t>Mümkün olduğunca ölçülebilir yıllık İSG hedefleri belirler ve bu hedefleri tüm çalışanlar ile paylaşarak toplam katılımı teşvik etmek yoluyla hedefleri gerçekleştirir;</w:t>
      </w:r>
    </w:p>
    <w:p w14:paraId="7F0BC719" w14:textId="77777777" w:rsidR="006D4093" w:rsidRPr="00585C2D" w:rsidRDefault="00783314" w:rsidP="006D4093">
      <w:pPr>
        <w:pStyle w:val="ListeParagraf"/>
        <w:numPr>
          <w:ilvl w:val="0"/>
          <w:numId w:val="2"/>
        </w:numPr>
        <w:tabs>
          <w:tab w:val="left" w:pos="210"/>
          <w:tab w:val="left" w:pos="7516"/>
        </w:tabs>
        <w:spacing w:line="360" w:lineRule="auto"/>
        <w:jc w:val="both"/>
        <w:rPr>
          <w:rFonts w:cstheme="minorHAnsi"/>
          <w:bCs/>
        </w:rPr>
      </w:pPr>
      <w:r w:rsidRPr="00585C2D">
        <w:rPr>
          <w:rFonts w:cstheme="minorHAnsi"/>
          <w:bCs/>
        </w:rPr>
        <w:t xml:space="preserve">Belirlenen </w:t>
      </w:r>
      <w:r w:rsidR="001734F9" w:rsidRPr="00585C2D">
        <w:rPr>
          <w:rFonts w:cstheme="minorHAnsi"/>
          <w:bCs/>
        </w:rPr>
        <w:t xml:space="preserve">İSG </w:t>
      </w:r>
      <w:r w:rsidRPr="00585C2D">
        <w:rPr>
          <w:rFonts w:cstheme="minorHAnsi"/>
          <w:bCs/>
        </w:rPr>
        <w:t>hedeflerine,</w:t>
      </w:r>
      <w:r w:rsidR="001734F9" w:rsidRPr="00585C2D">
        <w:rPr>
          <w:rFonts w:cstheme="minorHAnsi"/>
          <w:bCs/>
        </w:rPr>
        <w:t xml:space="preserve"> tüm çalışanların güvenli davranışları ve katkılarıyla ulaşabileceği</w:t>
      </w:r>
      <w:r w:rsidRPr="00585C2D">
        <w:rPr>
          <w:rFonts w:cstheme="minorHAnsi"/>
          <w:bCs/>
        </w:rPr>
        <w:t xml:space="preserve"> </w:t>
      </w:r>
      <w:r w:rsidR="001734F9" w:rsidRPr="00585C2D">
        <w:rPr>
          <w:rFonts w:cstheme="minorHAnsi"/>
          <w:bCs/>
        </w:rPr>
        <w:t>bilincini yaygınlaştı</w:t>
      </w:r>
      <w:r w:rsidRPr="00585C2D">
        <w:rPr>
          <w:rFonts w:cstheme="minorHAnsi"/>
          <w:bCs/>
        </w:rPr>
        <w:t xml:space="preserve">rır; </w:t>
      </w:r>
    </w:p>
    <w:p w14:paraId="25D11457" w14:textId="529D7E86" w:rsidR="006D4093" w:rsidRPr="00585C2D" w:rsidRDefault="006D4093" w:rsidP="006D4093">
      <w:pPr>
        <w:pStyle w:val="ListeParagraf"/>
        <w:numPr>
          <w:ilvl w:val="0"/>
          <w:numId w:val="2"/>
        </w:numPr>
        <w:tabs>
          <w:tab w:val="left" w:pos="210"/>
          <w:tab w:val="left" w:pos="7516"/>
        </w:tabs>
        <w:spacing w:line="360" w:lineRule="auto"/>
        <w:jc w:val="both"/>
        <w:rPr>
          <w:rFonts w:cstheme="minorHAnsi"/>
          <w:bCs/>
        </w:rPr>
      </w:pPr>
      <w:r w:rsidRPr="00585C2D">
        <w:rPr>
          <w:rFonts w:cstheme="minorHAnsi"/>
          <w:bCs/>
        </w:rPr>
        <w:t>Üniversite, sağlık, güvenlik ve refah yönetimini sürekli olarak iyileştirmek için performansını her düzeyde izler ve gözden geçirir.</w:t>
      </w:r>
    </w:p>
    <w:p w14:paraId="091E2771" w14:textId="572757B6" w:rsidR="007F321E" w:rsidRPr="00585C2D" w:rsidRDefault="007F321E" w:rsidP="004832B5">
      <w:pPr>
        <w:jc w:val="both"/>
        <w:rPr>
          <w:rFonts w:cstheme="minorHAnsi"/>
          <w:bCs/>
        </w:rPr>
      </w:pPr>
      <w:r w:rsidRPr="00585C2D">
        <w:rPr>
          <w:rFonts w:cstheme="minorHAnsi"/>
          <w:bCs/>
        </w:rPr>
        <w:t>Üniversite, politikanın geliştirilmesi, uygulanması, başarılması, gözden geçirilmesi ve sürdürülmesine yönelik bir organizasyon yapısı</w:t>
      </w:r>
      <w:r w:rsidR="00A63019" w:rsidRPr="00585C2D">
        <w:rPr>
          <w:rFonts w:cstheme="minorHAnsi"/>
          <w:bCs/>
        </w:rPr>
        <w:t xml:space="preserve"> kurmayı, İş sağlığı ve güvenliği yönetim sistemini benimseyerek </w:t>
      </w:r>
      <w:r w:rsidRPr="00585C2D">
        <w:rPr>
          <w:rFonts w:cstheme="minorHAnsi"/>
          <w:bCs/>
        </w:rPr>
        <w:t xml:space="preserve">İSG risk yönetimi için çerçeve sağlamayı, ölçülebilir İSG hedeflerini belirlemeyi ve sürekli iyileştirme sağlamayı </w:t>
      </w:r>
      <w:r w:rsidR="00A63019" w:rsidRPr="00585C2D">
        <w:rPr>
          <w:rFonts w:cstheme="minorHAnsi"/>
          <w:bCs/>
        </w:rPr>
        <w:t xml:space="preserve">kabul eder. </w:t>
      </w:r>
      <w:r w:rsidRPr="00585C2D">
        <w:rPr>
          <w:rFonts w:cstheme="minorHAnsi"/>
          <w:bCs/>
        </w:rPr>
        <w:t xml:space="preserve"> </w:t>
      </w:r>
    </w:p>
    <w:p w14:paraId="627F0226" w14:textId="77777777" w:rsidR="007F321E" w:rsidRPr="00585C2D" w:rsidRDefault="007F321E" w:rsidP="004832B5">
      <w:pPr>
        <w:jc w:val="both"/>
        <w:rPr>
          <w:rFonts w:cstheme="minorHAnsi"/>
          <w:bCs/>
        </w:rPr>
      </w:pPr>
    </w:p>
    <w:p w14:paraId="773E1FC7" w14:textId="720E3551" w:rsidR="00E032C2" w:rsidRPr="00585C2D" w:rsidRDefault="00E032C2" w:rsidP="004832B5">
      <w:pPr>
        <w:jc w:val="both"/>
        <w:rPr>
          <w:rFonts w:cstheme="minorHAnsi"/>
          <w:bCs/>
        </w:rPr>
      </w:pPr>
      <w:r w:rsidRPr="00585C2D">
        <w:tab/>
      </w:r>
      <w:r w:rsidRPr="00585C2D">
        <w:tab/>
      </w:r>
      <w:r w:rsidRPr="00585C2D">
        <w:tab/>
      </w:r>
      <w:r w:rsidRPr="00585C2D">
        <w:rPr>
          <w:b/>
          <w:bCs/>
        </w:rPr>
        <w:tab/>
      </w:r>
      <w:r w:rsidRPr="00585C2D">
        <w:rPr>
          <w:b/>
          <w:bCs/>
        </w:rPr>
        <w:tab/>
      </w:r>
      <w:r w:rsidRPr="00585C2D">
        <w:rPr>
          <w:b/>
          <w:bCs/>
        </w:rPr>
        <w:tab/>
      </w:r>
      <w:r w:rsidRPr="00585C2D">
        <w:rPr>
          <w:b/>
          <w:bCs/>
        </w:rPr>
        <w:tab/>
      </w:r>
    </w:p>
    <w:p w14:paraId="745BDB88" w14:textId="113115AE" w:rsidR="00E032C2" w:rsidRPr="00585C2D" w:rsidRDefault="00E032C2" w:rsidP="00E032C2">
      <w:pPr>
        <w:jc w:val="center"/>
        <w:rPr>
          <w:b/>
          <w:bCs/>
        </w:rPr>
      </w:pPr>
      <w:r w:rsidRPr="00585C2D">
        <w:rPr>
          <w:b/>
          <w:bCs/>
        </w:rPr>
        <w:t xml:space="preserve">Prof. Dr. </w:t>
      </w:r>
      <w:proofErr w:type="spellStart"/>
      <w:r w:rsidRPr="00585C2D">
        <w:rPr>
          <w:b/>
          <w:bCs/>
        </w:rPr>
        <w:t>Abdulhalik</w:t>
      </w:r>
      <w:proofErr w:type="spellEnd"/>
      <w:r w:rsidRPr="00585C2D">
        <w:rPr>
          <w:b/>
          <w:bCs/>
        </w:rPr>
        <w:t xml:space="preserve"> KARABULUT</w:t>
      </w:r>
    </w:p>
    <w:p w14:paraId="2397067D" w14:textId="6487FEA9" w:rsidR="00E032C2" w:rsidRPr="00585C2D" w:rsidRDefault="00E032C2" w:rsidP="00E032C2">
      <w:pPr>
        <w:jc w:val="center"/>
        <w:rPr>
          <w:b/>
          <w:bCs/>
        </w:rPr>
      </w:pPr>
      <w:r w:rsidRPr="00585C2D">
        <w:rPr>
          <w:b/>
          <w:bCs/>
        </w:rPr>
        <w:t>Rektör</w:t>
      </w:r>
    </w:p>
    <w:sectPr w:rsidR="00E032C2" w:rsidRPr="00585C2D" w:rsidSect="00E42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6BA37" w14:textId="77777777" w:rsidR="001F13A8" w:rsidRDefault="001F13A8" w:rsidP="001517BD">
      <w:pPr>
        <w:spacing w:after="0" w:line="240" w:lineRule="auto"/>
      </w:pPr>
      <w:r>
        <w:separator/>
      </w:r>
    </w:p>
  </w:endnote>
  <w:endnote w:type="continuationSeparator" w:id="0">
    <w:p w14:paraId="1AF66171" w14:textId="77777777" w:rsidR="001F13A8" w:rsidRDefault="001F13A8" w:rsidP="0015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28926" w14:textId="77777777" w:rsidR="008F2A44" w:rsidRDefault="008F2A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22"/>
      <w:gridCol w:w="3021"/>
      <w:gridCol w:w="3019"/>
    </w:tblGrid>
    <w:tr w:rsidR="00E42E83" w:rsidRPr="00E42E83" w14:paraId="78552443" w14:textId="77777777" w:rsidTr="000833CC">
      <w:trPr>
        <w:trHeight w:val="850"/>
      </w:trPr>
      <w:tc>
        <w:tcPr>
          <w:tcW w:w="1667" w:type="pct"/>
          <w:shd w:val="clear" w:color="auto" w:fill="auto"/>
        </w:tcPr>
        <w:p w14:paraId="61E89686" w14:textId="77777777" w:rsidR="00E42E83" w:rsidRPr="00E42E83" w:rsidRDefault="00E42E83" w:rsidP="00E42E8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/>
            </w:rPr>
          </w:pPr>
          <w:r w:rsidRPr="00E42E83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/>
            </w:rPr>
            <w:t>HAZIRLAYAN</w:t>
          </w:r>
        </w:p>
      </w:tc>
      <w:tc>
        <w:tcPr>
          <w:tcW w:w="1667" w:type="pct"/>
          <w:shd w:val="clear" w:color="auto" w:fill="auto"/>
        </w:tcPr>
        <w:p w14:paraId="32E38279" w14:textId="77777777" w:rsidR="00E42E83" w:rsidRPr="00E42E83" w:rsidRDefault="00E42E83" w:rsidP="00E42E8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/>
            </w:rPr>
          </w:pPr>
          <w:r w:rsidRPr="00E42E83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/>
            </w:rPr>
            <w:t>KONTROL EDEN</w:t>
          </w:r>
        </w:p>
      </w:tc>
      <w:tc>
        <w:tcPr>
          <w:tcW w:w="1666" w:type="pct"/>
          <w:shd w:val="clear" w:color="auto" w:fill="auto"/>
        </w:tcPr>
        <w:p w14:paraId="5D113618" w14:textId="77777777" w:rsidR="00E42E83" w:rsidRPr="00E42E83" w:rsidRDefault="00E42E83" w:rsidP="00E42E8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/>
            </w:rPr>
          </w:pPr>
          <w:r w:rsidRPr="00E42E83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tr-TR"/>
            </w:rPr>
            <w:t>ONAYLAYAN</w:t>
          </w:r>
        </w:p>
      </w:tc>
    </w:tr>
  </w:tbl>
  <w:p w14:paraId="4DD33936" w14:textId="77777777" w:rsidR="008F2A44" w:rsidRDefault="008F2A4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B4EE0" w14:textId="77777777" w:rsidR="008F2A44" w:rsidRDefault="008F2A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4EE40" w14:textId="77777777" w:rsidR="001F13A8" w:rsidRDefault="001F13A8" w:rsidP="001517BD">
      <w:pPr>
        <w:spacing w:after="0" w:line="240" w:lineRule="auto"/>
      </w:pPr>
      <w:r>
        <w:separator/>
      </w:r>
    </w:p>
  </w:footnote>
  <w:footnote w:type="continuationSeparator" w:id="0">
    <w:p w14:paraId="2D53D5D4" w14:textId="77777777" w:rsidR="001F13A8" w:rsidRDefault="001F13A8" w:rsidP="0015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06887" w14:textId="77777777" w:rsidR="008F2A44" w:rsidRDefault="008F2A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97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55"/>
      <w:gridCol w:w="4267"/>
      <w:gridCol w:w="3975"/>
    </w:tblGrid>
    <w:tr w:rsidR="008F2A44" w:rsidRPr="008F2A44" w14:paraId="39FEE270" w14:textId="77777777" w:rsidTr="00F0249A">
      <w:trPr>
        <w:trHeight w:val="271"/>
      </w:trPr>
      <w:tc>
        <w:tcPr>
          <w:tcW w:w="2755" w:type="dxa"/>
          <w:vMerge w:val="restart"/>
          <w:shd w:val="clear" w:color="auto" w:fill="auto"/>
          <w:noWrap/>
          <w:hideMark/>
        </w:tcPr>
        <w:p w14:paraId="1E170003" w14:textId="7603EA43" w:rsidR="008F2A44" w:rsidRPr="008F2A44" w:rsidRDefault="008F2A44" w:rsidP="008F2A44">
          <w:pPr>
            <w:pStyle w:val="stBilgi"/>
            <w:jc w:val="center"/>
            <w:rPr>
              <w:color w:val="000000" w:themeColor="text1"/>
            </w:rPr>
          </w:pPr>
          <w:r w:rsidRPr="008F2A44">
            <w:rPr>
              <w:noProof/>
              <w:color w:val="000000" w:themeColor="text1"/>
              <w:lang w:eastAsia="tr-TR"/>
            </w:rPr>
            <w:drawing>
              <wp:inline distT="0" distB="0" distL="0" distR="0" wp14:anchorId="7C9C9542" wp14:editId="7F83954F">
                <wp:extent cx="971550" cy="1019175"/>
                <wp:effectExtent l="0" t="0" r="0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7" w:type="dxa"/>
          <w:vMerge w:val="restart"/>
          <w:shd w:val="clear" w:color="auto" w:fill="auto"/>
          <w:hideMark/>
        </w:tcPr>
        <w:p w14:paraId="73683074" w14:textId="77777777" w:rsidR="008F2A44" w:rsidRPr="001238BA" w:rsidRDefault="008F2A44" w:rsidP="008F2A44">
          <w:pPr>
            <w:pStyle w:val="stBilgi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</w:p>
        <w:p w14:paraId="4DE07EE9" w14:textId="3FFE0069" w:rsidR="00103F1C" w:rsidRPr="001238BA" w:rsidRDefault="00103F1C" w:rsidP="00103F1C">
          <w:pPr>
            <w:pStyle w:val="stBilgi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</w:p>
        <w:p w14:paraId="38719BDE" w14:textId="77777777" w:rsidR="00103F1C" w:rsidRPr="001238BA" w:rsidRDefault="00103F1C" w:rsidP="00103F1C">
          <w:pPr>
            <w:pStyle w:val="stBilgi"/>
            <w:jc w:val="center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 w:rsidRPr="001238BA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İŞ SAĞLIĞI VE GÜVENLİĞİ POLİTİKASI</w:t>
          </w:r>
        </w:p>
        <w:p w14:paraId="4E917B70" w14:textId="77777777" w:rsidR="008F2A44" w:rsidRPr="001238BA" w:rsidRDefault="008F2A44" w:rsidP="00103F1C">
          <w:pPr>
            <w:pStyle w:val="stBilgi"/>
            <w:jc w:val="center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</w:p>
      </w:tc>
      <w:tc>
        <w:tcPr>
          <w:tcW w:w="3975" w:type="dxa"/>
          <w:shd w:val="clear" w:color="auto" w:fill="auto"/>
          <w:noWrap/>
          <w:hideMark/>
        </w:tcPr>
        <w:p w14:paraId="3E395F04" w14:textId="46FFE0EF" w:rsidR="008F2A44" w:rsidRPr="001238BA" w:rsidRDefault="008F2A44" w:rsidP="008F2A44">
          <w:pPr>
            <w:pStyle w:val="stBilgi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 w:rsidRPr="001238BA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 xml:space="preserve">Doküman No: İSG </w:t>
          </w:r>
          <w:r w:rsidR="00103F1C" w:rsidRPr="001238BA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–</w:t>
          </w:r>
          <w:r w:rsidRPr="001238BA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 xml:space="preserve"> </w:t>
          </w:r>
          <w:proofErr w:type="gramStart"/>
          <w:r w:rsidRPr="001238BA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PLTK</w:t>
          </w:r>
          <w:r w:rsidR="00103F1C" w:rsidRPr="001238BA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 xml:space="preserve"> </w:t>
          </w:r>
          <w:r w:rsidRPr="001238BA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-</w:t>
          </w:r>
          <w:proofErr w:type="gramEnd"/>
          <w:r w:rsidRPr="001238BA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 xml:space="preserve"> 001</w:t>
          </w:r>
        </w:p>
      </w:tc>
    </w:tr>
    <w:tr w:rsidR="008F2A44" w:rsidRPr="008F2A44" w14:paraId="28F4B526" w14:textId="77777777" w:rsidTr="00F0249A">
      <w:trPr>
        <w:trHeight w:val="271"/>
      </w:trPr>
      <w:tc>
        <w:tcPr>
          <w:tcW w:w="2755" w:type="dxa"/>
          <w:vMerge/>
          <w:shd w:val="clear" w:color="auto" w:fill="auto"/>
          <w:hideMark/>
        </w:tcPr>
        <w:p w14:paraId="0241AF32" w14:textId="77777777" w:rsidR="008F2A44" w:rsidRPr="008F2A44" w:rsidRDefault="008F2A44" w:rsidP="008F2A44">
          <w:pPr>
            <w:pStyle w:val="stBilgi"/>
            <w:rPr>
              <w:color w:val="000000" w:themeColor="text1"/>
            </w:rPr>
          </w:pPr>
        </w:p>
      </w:tc>
      <w:tc>
        <w:tcPr>
          <w:tcW w:w="4267" w:type="dxa"/>
          <w:vMerge/>
          <w:shd w:val="clear" w:color="auto" w:fill="auto"/>
          <w:hideMark/>
        </w:tcPr>
        <w:p w14:paraId="2CEAAFBC" w14:textId="77777777" w:rsidR="008F2A44" w:rsidRPr="001238BA" w:rsidRDefault="008F2A44" w:rsidP="008F2A44">
          <w:pPr>
            <w:pStyle w:val="stBilgi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</w:p>
      </w:tc>
      <w:tc>
        <w:tcPr>
          <w:tcW w:w="3975" w:type="dxa"/>
          <w:shd w:val="clear" w:color="auto" w:fill="auto"/>
          <w:hideMark/>
        </w:tcPr>
        <w:p w14:paraId="42649D56" w14:textId="77777777" w:rsidR="008F2A44" w:rsidRPr="001238BA" w:rsidRDefault="008F2A44" w:rsidP="008F2A44">
          <w:pPr>
            <w:pStyle w:val="stBilgi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 w:rsidRPr="001238BA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İlk Yayın Tarihi: 13.05.2024</w:t>
          </w:r>
        </w:p>
      </w:tc>
    </w:tr>
    <w:tr w:rsidR="008F2A44" w:rsidRPr="008F2A44" w14:paraId="76FE5772" w14:textId="77777777" w:rsidTr="00F0249A">
      <w:trPr>
        <w:trHeight w:val="271"/>
      </w:trPr>
      <w:tc>
        <w:tcPr>
          <w:tcW w:w="2755" w:type="dxa"/>
          <w:vMerge/>
          <w:shd w:val="clear" w:color="auto" w:fill="auto"/>
          <w:hideMark/>
        </w:tcPr>
        <w:p w14:paraId="4ED64287" w14:textId="77777777" w:rsidR="008F2A44" w:rsidRPr="008F2A44" w:rsidRDefault="008F2A44" w:rsidP="008F2A44">
          <w:pPr>
            <w:pStyle w:val="stBilgi"/>
            <w:rPr>
              <w:color w:val="000000" w:themeColor="text1"/>
            </w:rPr>
          </w:pPr>
        </w:p>
      </w:tc>
      <w:tc>
        <w:tcPr>
          <w:tcW w:w="4267" w:type="dxa"/>
          <w:vMerge/>
          <w:shd w:val="clear" w:color="auto" w:fill="auto"/>
          <w:hideMark/>
        </w:tcPr>
        <w:p w14:paraId="0CC31913" w14:textId="77777777" w:rsidR="008F2A44" w:rsidRPr="001238BA" w:rsidRDefault="008F2A44" w:rsidP="008F2A44">
          <w:pPr>
            <w:pStyle w:val="stBilgi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</w:p>
      </w:tc>
      <w:tc>
        <w:tcPr>
          <w:tcW w:w="3975" w:type="dxa"/>
          <w:shd w:val="clear" w:color="auto" w:fill="auto"/>
          <w:hideMark/>
        </w:tcPr>
        <w:p w14:paraId="33A5B430" w14:textId="77777777" w:rsidR="008F2A44" w:rsidRPr="001238BA" w:rsidRDefault="008F2A44" w:rsidP="008F2A44">
          <w:pPr>
            <w:pStyle w:val="stBilgi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 w:rsidRPr="001238BA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Revizyon Tarihi:</w:t>
          </w:r>
        </w:p>
      </w:tc>
    </w:tr>
    <w:tr w:rsidR="008F2A44" w:rsidRPr="008F2A44" w14:paraId="1D673153" w14:textId="77777777" w:rsidTr="00F0249A">
      <w:trPr>
        <w:trHeight w:val="271"/>
      </w:trPr>
      <w:tc>
        <w:tcPr>
          <w:tcW w:w="2755" w:type="dxa"/>
          <w:vMerge/>
          <w:shd w:val="clear" w:color="auto" w:fill="auto"/>
          <w:hideMark/>
        </w:tcPr>
        <w:p w14:paraId="166DB198" w14:textId="77777777" w:rsidR="008F2A44" w:rsidRPr="008F2A44" w:rsidRDefault="008F2A44" w:rsidP="008F2A44">
          <w:pPr>
            <w:pStyle w:val="stBilgi"/>
            <w:rPr>
              <w:color w:val="000000" w:themeColor="text1"/>
            </w:rPr>
          </w:pPr>
        </w:p>
      </w:tc>
      <w:tc>
        <w:tcPr>
          <w:tcW w:w="4267" w:type="dxa"/>
          <w:vMerge/>
          <w:shd w:val="clear" w:color="auto" w:fill="auto"/>
          <w:hideMark/>
        </w:tcPr>
        <w:p w14:paraId="0942CD65" w14:textId="77777777" w:rsidR="008F2A44" w:rsidRPr="001238BA" w:rsidRDefault="008F2A44" w:rsidP="008F2A44">
          <w:pPr>
            <w:pStyle w:val="stBilgi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</w:p>
      </w:tc>
      <w:tc>
        <w:tcPr>
          <w:tcW w:w="3975" w:type="dxa"/>
          <w:shd w:val="clear" w:color="auto" w:fill="auto"/>
          <w:hideMark/>
        </w:tcPr>
        <w:p w14:paraId="62CE3F81" w14:textId="77777777" w:rsidR="008F2A44" w:rsidRPr="001238BA" w:rsidRDefault="008F2A44" w:rsidP="008F2A44">
          <w:pPr>
            <w:pStyle w:val="stBilgi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 w:rsidRPr="001238BA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Revizyon No: 00</w:t>
          </w:r>
        </w:p>
      </w:tc>
    </w:tr>
    <w:tr w:rsidR="008F2A44" w:rsidRPr="008F2A44" w14:paraId="773C345D" w14:textId="77777777" w:rsidTr="00F0249A">
      <w:trPr>
        <w:trHeight w:val="271"/>
      </w:trPr>
      <w:tc>
        <w:tcPr>
          <w:tcW w:w="2755" w:type="dxa"/>
          <w:vMerge/>
          <w:shd w:val="clear" w:color="auto" w:fill="auto"/>
          <w:hideMark/>
        </w:tcPr>
        <w:p w14:paraId="1ADC017D" w14:textId="77777777" w:rsidR="008F2A44" w:rsidRPr="008F2A44" w:rsidRDefault="008F2A44" w:rsidP="008F2A44">
          <w:pPr>
            <w:pStyle w:val="stBilgi"/>
            <w:rPr>
              <w:color w:val="000000" w:themeColor="text1"/>
            </w:rPr>
          </w:pPr>
        </w:p>
      </w:tc>
      <w:tc>
        <w:tcPr>
          <w:tcW w:w="4267" w:type="dxa"/>
          <w:vMerge/>
          <w:shd w:val="clear" w:color="auto" w:fill="auto"/>
          <w:hideMark/>
        </w:tcPr>
        <w:p w14:paraId="0531E511" w14:textId="77777777" w:rsidR="008F2A44" w:rsidRPr="001238BA" w:rsidRDefault="008F2A44" w:rsidP="008F2A44">
          <w:pPr>
            <w:pStyle w:val="stBilgi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</w:p>
      </w:tc>
      <w:tc>
        <w:tcPr>
          <w:tcW w:w="3975" w:type="dxa"/>
          <w:shd w:val="clear" w:color="auto" w:fill="auto"/>
          <w:hideMark/>
        </w:tcPr>
        <w:p w14:paraId="662D69AE" w14:textId="75F30D10" w:rsidR="008F2A44" w:rsidRPr="001238BA" w:rsidRDefault="001238BA" w:rsidP="008F2A44">
          <w:pPr>
            <w:pStyle w:val="stBilgi"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 w:rsidRPr="001238BA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 xml:space="preserve">Sayfa </w:t>
          </w:r>
          <w:r w:rsidRPr="001238BA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fldChar w:fldCharType="begin"/>
          </w:r>
          <w:r w:rsidRPr="001238BA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nstrText>PAGE  \* Arabic  \* MERGEFORMAT</w:instrText>
          </w:r>
          <w:r w:rsidRPr="001238BA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fldChar w:fldCharType="separate"/>
          </w:r>
          <w:r w:rsidRPr="001238BA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1</w:t>
          </w:r>
          <w:r w:rsidRPr="001238BA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fldChar w:fldCharType="end"/>
          </w:r>
          <w:r w:rsidRPr="001238BA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 xml:space="preserve"> / </w:t>
          </w:r>
          <w:r w:rsidRPr="001238BA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fldChar w:fldCharType="begin"/>
          </w:r>
          <w:r w:rsidRPr="001238BA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nstrText>NUMPAGES  \* Arabic  \* MERGEFORMAT</w:instrText>
          </w:r>
          <w:r w:rsidRPr="001238BA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fldChar w:fldCharType="separate"/>
          </w:r>
          <w:r w:rsidRPr="001238BA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2</w:t>
          </w:r>
          <w:r w:rsidRPr="001238BA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fldChar w:fldCharType="end"/>
          </w:r>
        </w:p>
      </w:tc>
    </w:tr>
  </w:tbl>
  <w:p w14:paraId="2F80D960" w14:textId="352A4D5B" w:rsidR="001517BD" w:rsidRDefault="001517BD" w:rsidP="001517B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E0CC3" w14:textId="77777777" w:rsidR="008F2A44" w:rsidRDefault="008F2A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D4213"/>
    <w:multiLevelType w:val="hybridMultilevel"/>
    <w:tmpl w:val="07B2A206"/>
    <w:lvl w:ilvl="0" w:tplc="34D683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93E49"/>
    <w:multiLevelType w:val="hybridMultilevel"/>
    <w:tmpl w:val="75C0A2F2"/>
    <w:lvl w:ilvl="0" w:tplc="041F000D">
      <w:start w:val="1"/>
      <w:numFmt w:val="bullet"/>
      <w:lvlText w:val="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" w15:restartNumberingAfterBreak="0">
    <w:nsid w:val="3A8368D0"/>
    <w:multiLevelType w:val="hybridMultilevel"/>
    <w:tmpl w:val="DB946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80C5C"/>
    <w:multiLevelType w:val="hybridMultilevel"/>
    <w:tmpl w:val="231E9766"/>
    <w:lvl w:ilvl="0" w:tplc="C2582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01479"/>
    <w:multiLevelType w:val="hybridMultilevel"/>
    <w:tmpl w:val="5D24AD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027745">
    <w:abstractNumId w:val="3"/>
  </w:num>
  <w:num w:numId="2" w16cid:durableId="316111285">
    <w:abstractNumId w:val="2"/>
  </w:num>
  <w:num w:numId="3" w16cid:durableId="1447120776">
    <w:abstractNumId w:val="1"/>
  </w:num>
  <w:num w:numId="4" w16cid:durableId="2064283543">
    <w:abstractNumId w:val="4"/>
  </w:num>
  <w:num w:numId="5" w16cid:durableId="145602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72"/>
    <w:rsid w:val="00002257"/>
    <w:rsid w:val="0003762C"/>
    <w:rsid w:val="0006785F"/>
    <w:rsid w:val="000E159A"/>
    <w:rsid w:val="00103F1C"/>
    <w:rsid w:val="001238BA"/>
    <w:rsid w:val="001517BD"/>
    <w:rsid w:val="001734F9"/>
    <w:rsid w:val="00177D94"/>
    <w:rsid w:val="001953FF"/>
    <w:rsid w:val="001F13A8"/>
    <w:rsid w:val="00200CB0"/>
    <w:rsid w:val="002522C8"/>
    <w:rsid w:val="00283D64"/>
    <w:rsid w:val="003129D5"/>
    <w:rsid w:val="003254A2"/>
    <w:rsid w:val="003368F8"/>
    <w:rsid w:val="003C13B5"/>
    <w:rsid w:val="00412034"/>
    <w:rsid w:val="004832B5"/>
    <w:rsid w:val="00494DE4"/>
    <w:rsid w:val="004D11B4"/>
    <w:rsid w:val="00530C2B"/>
    <w:rsid w:val="00537DC6"/>
    <w:rsid w:val="00585C2D"/>
    <w:rsid w:val="005B2D0A"/>
    <w:rsid w:val="005F49E9"/>
    <w:rsid w:val="00631790"/>
    <w:rsid w:val="00643F62"/>
    <w:rsid w:val="0068562E"/>
    <w:rsid w:val="006D4093"/>
    <w:rsid w:val="00766E55"/>
    <w:rsid w:val="00782B25"/>
    <w:rsid w:val="00783314"/>
    <w:rsid w:val="00783C48"/>
    <w:rsid w:val="007A047E"/>
    <w:rsid w:val="007D6DC5"/>
    <w:rsid w:val="007E7C82"/>
    <w:rsid w:val="007F321E"/>
    <w:rsid w:val="007F44CB"/>
    <w:rsid w:val="00810076"/>
    <w:rsid w:val="00864434"/>
    <w:rsid w:val="008F2A44"/>
    <w:rsid w:val="008F6AEF"/>
    <w:rsid w:val="00951F47"/>
    <w:rsid w:val="00973B08"/>
    <w:rsid w:val="0098215D"/>
    <w:rsid w:val="00A63019"/>
    <w:rsid w:val="00A76D74"/>
    <w:rsid w:val="00B92F55"/>
    <w:rsid w:val="00BE502B"/>
    <w:rsid w:val="00CC1154"/>
    <w:rsid w:val="00D30A72"/>
    <w:rsid w:val="00E032C2"/>
    <w:rsid w:val="00E0561A"/>
    <w:rsid w:val="00E42E83"/>
    <w:rsid w:val="00F012FE"/>
    <w:rsid w:val="00F7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5005EA"/>
  <w15:chartTrackingRefBased/>
  <w15:docId w15:val="{160AF6A9-FAA1-4A5F-813B-187B91CE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F1C"/>
  </w:style>
  <w:style w:type="paragraph" w:styleId="Balk1">
    <w:name w:val="heading 1"/>
    <w:basedOn w:val="Normal"/>
    <w:next w:val="Normal"/>
    <w:link w:val="Balk1Char"/>
    <w:uiPriority w:val="9"/>
    <w:qFormat/>
    <w:rsid w:val="00D30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30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30A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30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30A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30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30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30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30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0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30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30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30A7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30A7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30A7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30A7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30A7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30A7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30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30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30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30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30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30A7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30A7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30A7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30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30A7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30A7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51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17BD"/>
  </w:style>
  <w:style w:type="paragraph" w:styleId="AltBilgi">
    <w:name w:val="footer"/>
    <w:basedOn w:val="Normal"/>
    <w:link w:val="AltBilgiChar"/>
    <w:uiPriority w:val="99"/>
    <w:unhideWhenUsed/>
    <w:rsid w:val="00151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1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TASDELEN</dc:creator>
  <cp:keywords/>
  <dc:description/>
  <cp:lastModifiedBy>YUNUS TASDELEN</cp:lastModifiedBy>
  <cp:revision>4</cp:revision>
  <cp:lastPrinted>2024-03-21T12:39:00Z</cp:lastPrinted>
  <dcterms:created xsi:type="dcterms:W3CDTF">2024-05-27T11:29:00Z</dcterms:created>
  <dcterms:modified xsi:type="dcterms:W3CDTF">2024-05-29T07:12:00Z</dcterms:modified>
</cp:coreProperties>
</file>